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44" w:rsidRPr="00BA1E44" w:rsidRDefault="00BA1E44" w:rsidP="00BA1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E44">
        <w:rPr>
          <w:rFonts w:ascii="Times New Roman" w:hAnsi="Times New Roman" w:cs="Times New Roman"/>
          <w:b/>
          <w:sz w:val="24"/>
          <w:szCs w:val="24"/>
        </w:rPr>
        <w:t>KLAIPĖDOS GEDMINŲ PROGIMNAZIJOS</w:t>
      </w:r>
    </w:p>
    <w:p w:rsidR="00BA1E44" w:rsidRPr="00BA1E44" w:rsidRDefault="00BA1E44" w:rsidP="00BA1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E44">
        <w:rPr>
          <w:rFonts w:ascii="Times New Roman" w:hAnsi="Times New Roman" w:cs="Times New Roman"/>
          <w:b/>
          <w:sz w:val="24"/>
          <w:szCs w:val="24"/>
        </w:rPr>
        <w:t>DIREKTORIAUS AURELIJAUS LIAUDANSKO</w:t>
      </w:r>
    </w:p>
    <w:p w:rsidR="00BA1E44" w:rsidRPr="00BA1E44" w:rsidRDefault="00BA1E44" w:rsidP="00BA1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E44">
        <w:rPr>
          <w:rFonts w:ascii="Times New Roman" w:hAnsi="Times New Roman" w:cs="Times New Roman"/>
          <w:b/>
          <w:sz w:val="24"/>
          <w:szCs w:val="24"/>
        </w:rPr>
        <w:t>METŲ VEIKLOS ATASKAITA</w:t>
      </w:r>
    </w:p>
    <w:p w:rsidR="00BA1E44" w:rsidRPr="00BA1E44" w:rsidRDefault="00BA1E44" w:rsidP="00BA1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E44" w:rsidRPr="00BA1E44" w:rsidRDefault="00BA1E44" w:rsidP="00BA1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E44">
        <w:rPr>
          <w:rFonts w:ascii="Times New Roman" w:hAnsi="Times New Roman" w:cs="Times New Roman"/>
          <w:sz w:val="24"/>
          <w:szCs w:val="24"/>
        </w:rPr>
        <w:t xml:space="preserve"> Nr.</w:t>
      </w:r>
    </w:p>
    <w:p w:rsidR="00BA1E44" w:rsidRPr="00BA1E44" w:rsidRDefault="00BA1E44" w:rsidP="00BA1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E44">
        <w:rPr>
          <w:rFonts w:ascii="Times New Roman" w:hAnsi="Times New Roman" w:cs="Times New Roman"/>
          <w:sz w:val="24"/>
          <w:szCs w:val="24"/>
        </w:rPr>
        <w:t>Klaipėda</w:t>
      </w:r>
    </w:p>
    <w:p w:rsidR="00BA1E44" w:rsidRPr="00BA1E44" w:rsidRDefault="00BA1E44" w:rsidP="00BA1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E44" w:rsidRPr="00BA1E44" w:rsidRDefault="00BA1E44" w:rsidP="00BA1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E44" w:rsidRPr="00BA1E44" w:rsidRDefault="00BA1E44" w:rsidP="00BA1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E44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BA1E44" w:rsidRPr="00BA1E44" w:rsidRDefault="00BA1E44" w:rsidP="00BA1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E44">
        <w:rPr>
          <w:rFonts w:ascii="Times New Roman" w:hAnsi="Times New Roman" w:cs="Times New Roman"/>
          <w:b/>
          <w:sz w:val="24"/>
          <w:szCs w:val="24"/>
        </w:rPr>
        <w:t>STRATEGINIO PLANO IR METINIO VEIKLOS PLANO ĮGYVENDINIMAS</w:t>
      </w:r>
    </w:p>
    <w:p w:rsidR="00BA1E44" w:rsidRPr="00BA1E44" w:rsidRDefault="00BA1E44" w:rsidP="00BA1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93"/>
      </w:tblGrid>
      <w:tr w:rsidR="009D5FEE" w:rsidTr="00704397">
        <w:tc>
          <w:tcPr>
            <w:tcW w:w="9493" w:type="dxa"/>
          </w:tcPr>
          <w:p w:rsidR="00AB7298" w:rsidRPr="00712771" w:rsidRDefault="00AB7298" w:rsidP="00AB729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Klaipėdos Gedminų progimnazijos (toliau – Progimnazija) 2019–2021 metų strateginiame ir 2019 metų veiklos planuose buvo numatytos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šios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svarbiausios prioritetinės sritys: teikti aukštos kokybės, įvairių gebėjimų mokinių ugdymosi lūkesčius pateisinančias inovatyvias ugdymo(</w:t>
            </w:r>
            <w:proofErr w:type="spellStart"/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) paslaugas, modernizuoti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švietimo reikmėms pritaikyti </w:t>
            </w:r>
            <w:r w:rsidRPr="00D1396B">
              <w:rPr>
                <w:rFonts w:ascii="Times New Roman" w:hAnsi="Times New Roman" w:cs="Times New Roman"/>
                <w:sz w:val="24"/>
                <w:szCs w:val="24"/>
              </w:rPr>
              <w:t>Progimnazijos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aplinkas.</w:t>
            </w:r>
            <w:r w:rsidRPr="00712771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Vadybiniai tikslai 2019 metais buvo orientuoti į ugdymo inovacijų, informacinių ir komunikacinių technologijų </w:t>
            </w:r>
            <w:r w:rsidRPr="00D1396B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(toliau – IKT)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12771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diegimo ir taikymo Progimnazijos veikloje strategijų kūrimą ir kokybiško ugdymo užtikrinimą bei įvairių gebėjimų mokinių ugdymo(</w:t>
            </w:r>
            <w:proofErr w:type="spellStart"/>
            <w:r w:rsidRPr="00712771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712771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kokybės gerinimą.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B7298" w:rsidRPr="00712771" w:rsidRDefault="00AB7298" w:rsidP="00AB729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2019-09-01 duomenimis Progimnazijoje mokėsi 924 mokiniai (2018 m. – 924). Ugdymo programas Progimnazijoje įgyvendino 74 pedagogai (60,39 etato). Dirbo 24 nepedagoginiai darbuotojai (24 etata</w:t>
            </w:r>
            <w:r w:rsidRPr="00D1396B">
              <w:rPr>
                <w:rFonts w:ascii="Times New Roman" w:hAnsi="Times New Roman" w:cs="Times New Roman"/>
                <w:sz w:val="24"/>
                <w:szCs w:val="24"/>
              </w:rPr>
              <w:t>i).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Įgyvendinta 18 neformaliojo vaikų švietimo programų, kuriose dalyvavo 417 (45 %) mokinių. 2019 </w:t>
            </w:r>
            <w:r w:rsidRPr="00D1396B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Progimnazija vykdė 12 tarptautinių, 3 šalies, 3 miesto ir 6 mokyklinius projektus, organizavo 28 atviras veiklas, 53 edukacines išvykas. </w:t>
            </w:r>
            <w:r w:rsidRPr="00D1396B">
              <w:rPr>
                <w:rFonts w:ascii="Times New Roman" w:hAnsi="Times New Roman" w:cs="Times New Roman"/>
                <w:sz w:val="24"/>
                <w:szCs w:val="24"/>
              </w:rPr>
              <w:t>Praėjusiais metais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Progimnazijos bendruomenė galėjo džiaugtis ir gerėjančiais ugdytinių pasiekimais: pasiektas pažangumo rodiklis 99,6 % (2018 m. – 99,57 %). Progimnazijos mokiniai aktyviai dalyvavo 14 respublikinių ar miesto olimpiadų, konkursų. Juose iškovotos 4 </w:t>
            </w:r>
            <w:r w:rsidRPr="00D1396B">
              <w:rPr>
                <w:rFonts w:ascii="Times New Roman" w:hAnsi="Times New Roman" w:cs="Times New Roman"/>
                <w:sz w:val="24"/>
                <w:szCs w:val="24"/>
              </w:rPr>
              <w:t>1-os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vietos, 19 mokinių iškovojo 2-ąsias vietas, </w:t>
            </w:r>
            <w:r w:rsidRPr="00D1396B">
              <w:rPr>
                <w:rFonts w:ascii="Times New Roman" w:hAnsi="Times New Roman" w:cs="Times New Roman"/>
                <w:sz w:val="24"/>
                <w:szCs w:val="24"/>
              </w:rPr>
              <w:t>10 mokinių – 3-iąsias vietas,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1 mokinys tapo laureatu. </w:t>
            </w:r>
            <w:r w:rsidRPr="00D1396B">
              <w:rPr>
                <w:rFonts w:ascii="Times New Roman" w:hAnsi="Times New Roman" w:cs="Times New Roman"/>
                <w:sz w:val="24"/>
                <w:szCs w:val="24"/>
              </w:rPr>
              <w:t xml:space="preserve">Progimnazija didžiuojasi mokinių sportiniais </w:t>
            </w:r>
            <w:proofErr w:type="spellStart"/>
            <w:r w:rsidRPr="00D1396B">
              <w:rPr>
                <w:rFonts w:ascii="Times New Roman" w:hAnsi="Times New Roman" w:cs="Times New Roman"/>
                <w:sz w:val="24"/>
                <w:szCs w:val="24"/>
              </w:rPr>
              <w:t>laimėjimais</w:t>
            </w:r>
            <w:proofErr w:type="spellEnd"/>
            <w:r w:rsidRPr="00D139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Progimnazija tapo </w:t>
            </w:r>
            <w:r w:rsidRPr="00D1396B">
              <w:rPr>
                <w:rFonts w:ascii="Times New Roman" w:hAnsi="Times New Roman" w:cs="Times New Roman"/>
                <w:sz w:val="24"/>
                <w:szCs w:val="24"/>
              </w:rPr>
              <w:t>Lietuvos mokyklų žaidynių Progimnazijų ir pagrindinių mokyklų pirmosios grupės nugalėtoja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 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Klaipėdos miesto mokinių „Mero taurės“ sporto žaidynėse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bendrojoje įskaitoje iškovojo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6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ąją vieta. </w:t>
            </w:r>
          </w:p>
          <w:p w:rsidR="00AB7298" w:rsidRPr="00712771" w:rsidRDefault="00AB7298" w:rsidP="00AB729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Progimnazijos veiklos įsivertinimo darbo grupė, atsižvelgusi į įsivertinimo rezultatus, 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pasirinko tobulinti „Lyderystės ir vadybos“ srities rodiklį „Veikime kartu“. Tobulinant šią sritį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396B">
              <w:rPr>
                <w:rFonts w:ascii="Times New Roman" w:hAnsi="Times New Roman" w:cs="Times New Roman"/>
                <w:sz w:val="24"/>
                <w:szCs w:val="24"/>
              </w:rPr>
              <w:t>Progimnazijoje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buvo sukurti teminio mokymo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6B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atyriminio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modeliai, </w:t>
            </w:r>
            <w:r w:rsidRPr="00D1396B">
              <w:rPr>
                <w:rFonts w:ascii="Times New Roman" w:hAnsi="Times New Roman" w:cs="Times New Roman"/>
                <w:sz w:val="24"/>
                <w:szCs w:val="24"/>
              </w:rPr>
              <w:t>kurių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taikymas padėjo mokiniams mokytis, susiejant teoriją su praktika, išbandant įvairius mokymosi būdus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įvairiose aplinkose. </w:t>
            </w:r>
            <w:r w:rsidRPr="006B2735">
              <w:rPr>
                <w:rFonts w:ascii="Times New Roman" w:hAnsi="Times New Roman" w:cs="Times New Roman"/>
                <w:sz w:val="24"/>
                <w:szCs w:val="24"/>
              </w:rPr>
              <w:t>2019 m. įgyvendinant siekį teikti aukštos kokybės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6B">
              <w:rPr>
                <w:rFonts w:ascii="Times New Roman" w:hAnsi="Times New Roman" w:cs="Times New Roman"/>
                <w:sz w:val="24"/>
                <w:szCs w:val="24"/>
              </w:rPr>
              <w:t>ugdymą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ienoje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klasėje buvo išbandomas dvikalbis (lietuvių, anglų) ugdymas istorijos pamokose, </w:t>
            </w:r>
            <w:r w:rsidRPr="00D1396B">
              <w:rPr>
                <w:rFonts w:ascii="Times New Roman" w:hAnsi="Times New Roman" w:cs="Times New Roman"/>
                <w:sz w:val="24"/>
                <w:szCs w:val="24"/>
              </w:rPr>
              <w:t>atskirų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5–6 klasių mokiniai </w:t>
            </w:r>
            <w:r w:rsidRPr="00D1396B">
              <w:rPr>
                <w:rFonts w:ascii="Times New Roman" w:hAnsi="Times New Roman" w:cs="Times New Roman"/>
                <w:sz w:val="24"/>
                <w:szCs w:val="24"/>
              </w:rPr>
              <w:t>mokėsi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pagal integruotą gamtos mokslų 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rso programą, į pradinio ugdymo </w:t>
            </w:r>
            <w:r w:rsidRPr="00D1396B">
              <w:rPr>
                <w:rFonts w:ascii="Times New Roman" w:hAnsi="Times New Roman" w:cs="Times New Roman"/>
                <w:sz w:val="24"/>
                <w:szCs w:val="24"/>
              </w:rPr>
              <w:t xml:space="preserve">privalomus dalykus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buvo </w:t>
            </w:r>
            <w:r w:rsidRPr="00D1396B">
              <w:rPr>
                <w:rFonts w:ascii="Times New Roman" w:hAnsi="Times New Roman" w:cs="Times New Roman"/>
                <w:sz w:val="24"/>
                <w:szCs w:val="24"/>
              </w:rPr>
              <w:t>integruojama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neformaliojo vaikų švietimo programa „Teatr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inės simuliacijos matematikoje“ 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pradinio ugdymo informatikos bendrosios programos metmenys,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viena 1-oji ir viena 4-oji klasės išbandė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Suomijos mokslininkų sukurtą ir Suomijoje jau keletą metų sėkmingai taikomą vir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tualią mokymo(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aplinką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alis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ugdymo plano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valandų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buvo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panaudotos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gabiųjų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3–8 klasių mokinių matematiniams, lietuvių kalbos gebėjimams lavinti, dirbant pagal </w:t>
            </w:r>
            <w:r w:rsidRPr="0071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Specialiosios pedagogikos ir psichologijos centro parengtus specialiuosius modulius aukštesniųjų gebėjimų turintiems vaikams. </w:t>
            </w:r>
          </w:p>
          <w:p w:rsidR="00AB7298" w:rsidRPr="00712771" w:rsidRDefault="00AB7298" w:rsidP="00AB729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Progimnazija sėkmingai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vykdė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pagal netradicinio ugdymo </w:t>
            </w:r>
            <w:proofErr w:type="spellStart"/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Valdorfo</w:t>
            </w:r>
            <w:proofErr w:type="spellEnd"/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pedagogikos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sampratos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elementų programą besiugdančių mokinių mokymą. Pagal šią programą 2019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aštuoniose klasėse buvo ugdomi 194 mokiniai. 1–4 klasių mokiniai 2019 m. pavasarį pristatė metų kūrybinius darbus pasirinkta tema.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pavaduotojas ugdymui ir </w:t>
            </w:r>
            <w:proofErr w:type="spellStart"/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Valdorfo</w:t>
            </w:r>
            <w:proofErr w:type="spellEnd"/>
            <w:r w:rsidRPr="00103B39">
              <w:rPr>
                <w:rFonts w:ascii="Times New Roman" w:hAnsi="Times New Roman" w:cs="Times New Roman"/>
                <w:sz w:val="24"/>
                <w:szCs w:val="24"/>
              </w:rPr>
              <w:t xml:space="preserve"> klasėse mokantis anglų kalbos mokytojas dalyvavo „</w:t>
            </w:r>
            <w:proofErr w:type="spellStart"/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103B39">
              <w:rPr>
                <w:rFonts w:ascii="Times New Roman" w:hAnsi="Times New Roman" w:cs="Times New Roman"/>
                <w:sz w:val="24"/>
                <w:szCs w:val="24"/>
              </w:rPr>
              <w:t xml:space="preserve">+“ bendrojo ugdymo 1 pagrindinio veiksmo projekto „Gyvoji mokykla: erdvė kurti, augti, būti“ darbo stebėjimo vizite </w:t>
            </w:r>
            <w:proofErr w:type="spellStart"/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Acheno</w:t>
            </w:r>
            <w:proofErr w:type="spellEnd"/>
            <w:r w:rsidRPr="00103B39">
              <w:rPr>
                <w:rFonts w:ascii="Times New Roman" w:hAnsi="Times New Roman" w:cs="Times New Roman"/>
                <w:sz w:val="24"/>
                <w:szCs w:val="24"/>
              </w:rPr>
              <w:t xml:space="preserve"> laisvojoje </w:t>
            </w:r>
            <w:proofErr w:type="spellStart"/>
            <w:r w:rsidRPr="00103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Valdorfo</w:t>
            </w:r>
            <w:proofErr w:type="spellEnd"/>
            <w:r w:rsidRPr="00103B39">
              <w:rPr>
                <w:rFonts w:ascii="Times New Roman" w:hAnsi="Times New Roman" w:cs="Times New Roman"/>
                <w:sz w:val="24"/>
                <w:szCs w:val="24"/>
              </w:rPr>
              <w:t xml:space="preserve"> mokykloje (Vokietija).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Įgyta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pedagogų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patirtis leido inicijuoti pokyčius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Progimnazijos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administravimo, integralaus ugdymo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organizavimo, bendrystės kūrimo srityse. </w:t>
            </w:r>
          </w:p>
          <w:p w:rsidR="00AB7298" w:rsidRPr="00712771" w:rsidRDefault="00AB7298" w:rsidP="00AB729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2019 m. logopedo pagalba teikta 60 mokinių, specialiojo pedagogo pagalba – 45 mokiniams. Progimnazijos psichologas pagalbą teikė 298 asmenims, socialinis pedagogas – 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asmeniui. 6 mokytojo padėjėjai pagalbą teikė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vaikų.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Praėjusiais metais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inkamai organizuotas nemokamas maitinimas 56 Progimnazijos mokiniams, 48 mokiniams teikta pailgintos dienos grupės paslauga. 2019 m. pavasarį Progimnazija sėkmingai baigė diegti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prevencinės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Olweus</w:t>
            </w:r>
            <w:proofErr w:type="spellEnd"/>
            <w:r w:rsidRPr="0071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programos kokybės užtikrinimo sistemą (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OPKUS)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Progimnazijoje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atlikto lyginamojo tyrimo rezultatai parodė, kad patyčių ir smurto atvejų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rogimnazijoje sumažėjo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lyginant su 2017 m. rezultatais. Nuo 2019 m. rudens 2–8 klasių vadovai klasių valandėlių metu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įgyvendino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mokinių socialines-emocines kompetencijas ugdančias prevencines programas „Laikas kartu“, „Paauglystės kryžkelės“, 1 klasių mokinių ugdymui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buvo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naudojama programa „</w:t>
            </w:r>
            <w:proofErr w:type="spellStart"/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Zipio</w:t>
            </w:r>
            <w:proofErr w:type="spellEnd"/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draugai“.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298" w:rsidRPr="005263BA" w:rsidRDefault="00AB7298" w:rsidP="00AB7298">
            <w:pPr>
              <w:ind w:firstLine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2019 m. Progimnazijos pedagogai kvalifikaciją tobulino vidutiniškai 6 dienas. Per metus jie organizavo 30 mokymų, autorinių seminarų, skaitė 15 pranešimų šalies ir užsienio šalių pedagogams. 2 mokytojai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buvo atestuoti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mokytojo metod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ininko 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kvalifikaci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nėms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kategorijoms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, 6 mokytojai stažavosi užsienyje.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Progimnazijoje įgyvendinama IKT</w:t>
            </w:r>
            <w:r w:rsidRPr="00712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diegimo ir naudojimo 2019–2021 metais strategija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103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pedagogams padėjo</w:t>
            </w:r>
            <w:r w:rsidRPr="00103B3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žmegzti tarptautinius ryšius, augo profesinė mokytojų kompetencija IKT srityje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298" w:rsidRPr="00712771" w:rsidRDefault="00AB7298" w:rsidP="00AB729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2019 metais Progimnazijos išlaikymui skirtos lėšos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buvo naudotos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racionaliai, suderinus su savivaldos institucijomis. Klaipėdos miesto savivaldybės lėšomis,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įgyvendinant projektą „Modernių ugdymosi erdvių sukūrimas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Progimnazijoje buvo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renovuoti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mokymosi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kabinetai,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įrengta moderni biblioteka – skaitykla,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įsigyta kompiuterinės ir interaktyvios įrangos už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 xml:space="preserve">39,15 tūkst. </w:t>
            </w:r>
            <w:proofErr w:type="spellStart"/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nupirktos 5–8 klasių mokiniams persirengimo spintelės. Paramos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rėmėjų ir savivald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ybės lėšomis 2019 metais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įrengti IKT kabinetai 1–4 ir 5–8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klasių mokiniams,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B39">
              <w:rPr>
                <w:rFonts w:ascii="Times New Roman" w:hAnsi="Times New Roman" w:cs="Times New Roman"/>
                <w:strike/>
                <w:sz w:val="24"/>
                <w:szCs w:val="24"/>
              </w:rPr>
              <w:t>,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įsigyti 2 interaktyvūs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ekranai.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Praėjusiais metais e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inamojo remonto darbai atlikti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mokymosi kabinetuose ir kitose ugdymui naudojamose patalpose (iš viso 292,31 m</w:t>
            </w:r>
            <w:r w:rsidRPr="007127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n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upirkti mokykliniai baldai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klasėms, įrengti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roletai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2 kabinetuose,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iš dalies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atnaujintas interneto tinklas, atlikta </w:t>
            </w:r>
            <w:proofErr w:type="spellStart"/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-Fi tinklo plėtra.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Taip pat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isoje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>rogimnazijoje pakeistos kabinetų informacinės lentelės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ž savivaldybės lėšas renovuotos sporto salės grindys, pakeista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dalis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71">
              <w:rPr>
                <w:rFonts w:ascii="Times New Roman" w:hAnsi="Times New Roman" w:cs="Times New Roman"/>
                <w:sz w:val="24"/>
                <w:szCs w:val="24"/>
              </w:rPr>
              <w:t xml:space="preserve">stogo </w:t>
            </w:r>
            <w:r w:rsidRPr="00103B39">
              <w:rPr>
                <w:rFonts w:ascii="Times New Roman" w:hAnsi="Times New Roman" w:cs="Times New Roman"/>
                <w:sz w:val="24"/>
                <w:szCs w:val="24"/>
              </w:rPr>
              <w:t>dangos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298" w:rsidRPr="00712771" w:rsidRDefault="00AB7298" w:rsidP="00AB7298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metais Progimnazijos bendruomenei nepavyko išspręsti šių išorės ar vidaus faktorių sąlygotų problemų: </w:t>
            </w:r>
            <w:r w:rsidRPr="00103B39">
              <w:rPr>
                <w:rFonts w:ascii="Times New Roman" w:eastAsia="Calibri" w:hAnsi="Times New Roman" w:cs="Times New Roman"/>
                <w:sz w:val="24"/>
                <w:szCs w:val="24"/>
              </w:rPr>
              <w:t>nepakankamas</w:t>
            </w:r>
            <w:r w:rsidRPr="00712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tėvų įsitraukimas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12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sprendžiant iškilusias jų vaikų ugdymo(</w:t>
            </w:r>
            <w:proofErr w:type="spellStart"/>
            <w:r w:rsidRPr="00712771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  <w:proofErr w:type="spellEnd"/>
            <w:r w:rsidRPr="00712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problemas; prastėjantys mokinių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nacionalinio mokinių pasiekimų </w:t>
            </w:r>
            <w:r w:rsidRPr="00712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patikrinimo rezultatai; būtinas pastato sienų apšiltinimas, plastikinių langų renovacija, vėdinimo sistemų remontas, pilnas interneto tinklo atnaujinimas, lauko </w:t>
            </w:r>
            <w:r w:rsidRPr="00882032">
              <w:rPr>
                <w:rFonts w:ascii="Times New Roman" w:eastAsia="Calibri" w:hAnsi="Times New Roman" w:cs="Times New Roman"/>
                <w:sz w:val="24"/>
                <w:szCs w:val="24"/>
              </w:rPr>
              <w:t>teritorijos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2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atnaujinimas ir pritaikymas </w:t>
            </w:r>
            <w:r w:rsidRPr="00882032">
              <w:rPr>
                <w:rFonts w:ascii="Times New Roman" w:eastAsia="Calibri" w:hAnsi="Times New Roman" w:cs="Times New Roman"/>
                <w:sz w:val="24"/>
                <w:szCs w:val="24"/>
              </w:rPr>
              <w:t>ugdomosioms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2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veikloms vykdyti. </w:t>
            </w:r>
          </w:p>
          <w:p w:rsidR="009D5FEE" w:rsidRDefault="00AB7298" w:rsidP="00AB729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71">
              <w:rPr>
                <w:rFonts w:ascii="Times New Roman" w:eastAsia="Calibri" w:hAnsi="Times New Roman" w:cs="Times New Roman"/>
                <w:sz w:val="24"/>
                <w:szCs w:val="24"/>
              </w:rPr>
              <w:t>Planuodama 2020 metų veiklą, Progimnazijos bendruomenė sutarė laikytis 2019 metais iškeltų prioritetų: gerinti įvairių gebėjimų mokinių ugdymo(</w:t>
            </w:r>
            <w:proofErr w:type="spellStart"/>
            <w:r w:rsidRPr="00712771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  <w:proofErr w:type="spellEnd"/>
            <w:r w:rsidRPr="00712771">
              <w:rPr>
                <w:rFonts w:ascii="Times New Roman" w:eastAsia="Calibri" w:hAnsi="Times New Roman" w:cs="Times New Roman"/>
                <w:sz w:val="24"/>
                <w:szCs w:val="24"/>
              </w:rPr>
              <w:t>) kokybę; modernizuoti ir pritaikyti aplinkas švietimo reikmėms; sistemingai ir tikslingai diegti ugdymo inovacijas.</w:t>
            </w:r>
          </w:p>
        </w:tc>
      </w:tr>
    </w:tbl>
    <w:p w:rsidR="00AB7298" w:rsidRDefault="00AB7298" w:rsidP="00BA1E4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BA1E44" w:rsidRPr="00BA1E44" w:rsidRDefault="00BA1E44" w:rsidP="00BA1E4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A1E4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 SKYRIUS</w:t>
      </w:r>
    </w:p>
    <w:p w:rsidR="00BA1E44" w:rsidRPr="00BA1E44" w:rsidRDefault="00BA1E44" w:rsidP="00BA1E4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A1E4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METŲ VEIKLOS UŽDUOTYS, REZULTATAI IR RODIKLIAI</w:t>
      </w:r>
    </w:p>
    <w:p w:rsidR="00BA1E44" w:rsidRPr="00BA1E44" w:rsidRDefault="00BA1E44" w:rsidP="00BA1E4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BA1E44" w:rsidRPr="00BA1E44" w:rsidRDefault="001552C5" w:rsidP="00BA1E44">
      <w:p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Pagrindiniai 2019</w:t>
      </w:r>
      <w:r w:rsidR="00BA1E44" w:rsidRPr="00BA1E4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metų veiklos rezultatai</w:t>
      </w:r>
    </w:p>
    <w:tbl>
      <w:tblPr>
        <w:tblW w:w="95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438"/>
        <w:gridCol w:w="3285"/>
      </w:tblGrid>
      <w:tr w:rsidR="00DE6786" w:rsidRPr="00DE6786" w:rsidTr="00AB7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4" w:rsidRPr="00DE6786" w:rsidRDefault="001552C5" w:rsidP="00BA1E4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2019</w:t>
            </w:r>
            <w:r w:rsidR="00BA1E44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užduotys (toliau – užduotys)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4" w:rsidRPr="00DE6786" w:rsidRDefault="00BA1E44" w:rsidP="00BA1E4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4" w:rsidRPr="00DE6786" w:rsidRDefault="00BA1E44" w:rsidP="00BA1E4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4" w:rsidRPr="00DE6786" w:rsidRDefault="00BA1E44" w:rsidP="00BA1E4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Pasiekti rezultatai ir jų rodikliai</w:t>
            </w:r>
          </w:p>
        </w:tc>
      </w:tr>
      <w:tr w:rsidR="00DE6786" w:rsidRPr="00DE6786" w:rsidTr="00AB7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44" w:rsidRPr="00DE6786" w:rsidRDefault="00BA1E44" w:rsidP="00DE6786">
            <w:pPr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D5FEE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</w:t>
            </w:r>
            <w:r w:rsidR="00A448A9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obulinti taikomą mokytojų etatinio darbo </w:t>
            </w:r>
            <w:r w:rsidR="00A448A9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užmokesčio sistemą</w:t>
            </w:r>
            <w:r w:rsidR="009D5FEE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(toliau – Sistema)</w:t>
            </w:r>
            <w:r w:rsidR="001552C5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44" w:rsidRPr="00DE6786" w:rsidRDefault="00E44A23" w:rsidP="00BA1E44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Taikoma Sistema atitiks 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pasikeitusius teisės aktus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EE" w:rsidRPr="00DE6786" w:rsidRDefault="009D5FEE" w:rsidP="00DE6786">
            <w:pPr>
              <w:numPr>
                <w:ilvl w:val="0"/>
                <w:numId w:val="1"/>
              </w:numPr>
              <w:tabs>
                <w:tab w:val="left" w:pos="241"/>
                <w:tab w:val="left" w:pos="3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Pakeisti ar atnaujinti Sistemos taikymą reglamentuojantys 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Progimnazijos dokumentais. Jie pristatyti darbuotojams.</w:t>
            </w:r>
          </w:p>
          <w:p w:rsidR="009D5FEE" w:rsidRPr="00DE6786" w:rsidRDefault="009D5FEE" w:rsidP="00DE6786">
            <w:pPr>
              <w:numPr>
                <w:ilvl w:val="0"/>
                <w:numId w:val="1"/>
              </w:numPr>
              <w:tabs>
                <w:tab w:val="left" w:pos="241"/>
                <w:tab w:val="left" w:pos="3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Pasikeitimai įforminti mokytojų darbo sutartyse ir pareigybių aprašymuose.</w:t>
            </w:r>
          </w:p>
          <w:p w:rsidR="00BA1E44" w:rsidRPr="00DE6786" w:rsidRDefault="009D5FEE" w:rsidP="00DE6786">
            <w:pPr>
              <w:tabs>
                <w:tab w:val="left" w:pos="241"/>
              </w:tabs>
              <w:overflowPunct w:val="0"/>
              <w:spacing w:after="0" w:line="240" w:lineRule="auto"/>
              <w:ind w:right="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Pakeistos su Sistemos pakeitimais susijusios Progimnazijos darbo tvarkos taisyklių ir Darbo apmokėjimo sistemos nuostatos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44" w:rsidRPr="00DE6786" w:rsidRDefault="00BA1E44" w:rsidP="00DE678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1.</w:t>
            </w:r>
            <w:r w:rsidR="00A448A9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Progimnazijos direktoriaus 2019-06-05 įsakymu Nr. V1-33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sudaryta darbo grupė 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Progimnazijos mokytojų </w:t>
            </w:r>
            <w:r w:rsidR="00A448A9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etatinio darbo užmokesčio sistemo</w:t>
            </w:r>
            <w:r w:rsidR="00E44A23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 tobulinimo projektui</w:t>
            </w:r>
            <w:r w:rsidR="00A448A9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parengti. </w:t>
            </w:r>
          </w:p>
          <w:p w:rsidR="00BA1E44" w:rsidRPr="00DE6786" w:rsidRDefault="00BA1E44" w:rsidP="00DE678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</w:t>
            </w:r>
            <w:r w:rsidR="00E44A23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2018-08-30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visi pedagoginiai darbuotojai buvo supažindinti su Progimnazijos</w:t>
            </w:r>
            <w:r w:rsidR="00E44A23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etatinio darbo užmokesčio sistemos tobulinimo projektu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BA1E44" w:rsidRPr="00DE6786" w:rsidRDefault="00BA1E44" w:rsidP="00DE6786">
            <w:pPr>
              <w:tabs>
                <w:tab w:val="left" w:pos="271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  <w:r w:rsidR="00E44A23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Progimnazijos direktoriaus 2019-09-06 įsakymu Nr. V1-58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patvirtinta </w:t>
            </w:r>
            <w:r w:rsidR="00E44A23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Progimnazijos etatinio darbo užmokesčio sistema</w:t>
            </w:r>
            <w:r w:rsidR="003E0EA8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E44A23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Mokytojai su ja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susipažino pasirašytinai</w:t>
            </w:r>
            <w:r w:rsidR="00E44A23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E44A23" w:rsidRPr="00DE6786" w:rsidRDefault="003E0EA8" w:rsidP="00DE6786">
            <w:pPr>
              <w:tabs>
                <w:tab w:val="left" w:pos="241"/>
                <w:tab w:val="left" w:pos="3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  <w:r w:rsidR="00DE6786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E44A23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2019-09-10</w:t>
            </w:r>
            <w:r w:rsidR="00E44A23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Sistemos pa</w:t>
            </w:r>
            <w:r w:rsidR="00E44A23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keitimai įforminti mokytojų darbo sutartyse ir pareigybių aprašymuose.</w:t>
            </w:r>
          </w:p>
          <w:p w:rsidR="00E44A23" w:rsidRPr="00DE6786" w:rsidRDefault="00E44A23" w:rsidP="00E44A23">
            <w:pPr>
              <w:tabs>
                <w:tab w:val="left" w:pos="271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E6786" w:rsidRPr="00DE6786" w:rsidTr="00AB7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44" w:rsidRPr="00DE6786" w:rsidRDefault="00BA1E44" w:rsidP="003E0EA8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1.2</w:t>
            </w:r>
            <w:r w:rsidR="009D5FEE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3E0EA8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Užtikrinti </w:t>
            </w:r>
            <w:r w:rsidR="003E0EA8" w:rsidRPr="00DE6786">
              <w:rPr>
                <w:rFonts w:ascii="Times New Roman" w:hAnsi="Times New Roman" w:cs="Times New Roman"/>
                <w:sz w:val="24"/>
                <w:szCs w:val="24"/>
              </w:rPr>
              <w:t>informatikos mokymo įgyvendinimą pradiniame ugdyme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44" w:rsidRPr="00DE6786" w:rsidRDefault="003E0EA8" w:rsidP="00BA1E44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Vykdomas kokybiškas informatikos ugdymo turinio 1–4 klasėse taikymas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EE" w:rsidRPr="00DE6786" w:rsidRDefault="009D5FEE" w:rsidP="009D5FEE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Įvertintas mokytojų pasirengimas taikyti atnaujinto turinio pradinio ugdymo programą.</w:t>
            </w:r>
          </w:p>
          <w:p w:rsidR="009D5FEE" w:rsidRPr="00DE6786" w:rsidRDefault="009D5FEE" w:rsidP="009D5FEE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 Informatikos mokymu grįsto pradinių klasių mokinių mokymo ypatumai pristatyti </w:t>
            </w:r>
            <w:proofErr w:type="spellStart"/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direkciniuose</w:t>
            </w:r>
            <w:proofErr w:type="spellEnd"/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mokytojų metodiniuose, tėvų ir kitų savivaldos institucijų susirinkimuose.</w:t>
            </w:r>
            <w:r w:rsidRPr="00DE678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 xml:space="preserve"> </w:t>
            </w:r>
          </w:p>
          <w:p w:rsidR="009D5FEE" w:rsidRPr="00DE6786" w:rsidRDefault="009D5FEE" w:rsidP="009D5FEE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 Įsigyta būtinų IKT priemonių, baldų pagal poreikį. </w:t>
            </w:r>
          </w:p>
          <w:p w:rsidR="00BA1E44" w:rsidRPr="00DE6786" w:rsidRDefault="009D5FEE" w:rsidP="009D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 Organizuoti kvalifikacijos tobulinimo renginiai mokytojų IKT kompetencijai gerinti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CF" w:rsidRPr="00DE6786" w:rsidRDefault="00F040CF" w:rsidP="004E45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 Pradinio ugdymo programos mokytojų apklausa 2019-04 02-05; Europos Komisijos parengta </w:t>
            </w:r>
            <w:r w:rsidRPr="00DE6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įsivertinimo priemonė SELFIE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apklausa 2019 metų rugsėjo mėn. </w:t>
            </w:r>
          </w:p>
          <w:p w:rsidR="00F040CF" w:rsidRPr="00DE6786" w:rsidRDefault="00F040CF" w:rsidP="004E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 Mokytojų susirinkimas </w:t>
            </w:r>
            <w:r w:rsid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IT dalyko programos įgyvendinimo ypatumai </w:t>
            </w:r>
            <w:r w:rsid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progimnazijoje“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 2019-09-12;</w:t>
            </w:r>
          </w:p>
          <w:p w:rsidR="00F040CF" w:rsidRPr="00DE6786" w:rsidRDefault="00F040CF" w:rsidP="004E45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Ville</w:t>
            </w:r>
            <w:proofErr w:type="spellEnd"/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mokymosi platformos pristatymas </w:t>
            </w:r>
            <w:r w:rsidR="00E703E6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bendruomenei 2019 metų spalio mėn.</w:t>
            </w:r>
          </w:p>
          <w:p w:rsidR="00F040CF" w:rsidRPr="00DE6786" w:rsidRDefault="00E703E6" w:rsidP="004E45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 2019 vasario mėn.</w:t>
            </w:r>
            <w:r w:rsidR="00F040CF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įrengtas IT kambarys pradinio ugdymo programos mokiniams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aprūpintas šiuolaikinėmis IT priemonėmis</w:t>
            </w:r>
            <w:r w:rsidR="00F040CF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:rsidR="00BA1E44" w:rsidRPr="00DE6786" w:rsidRDefault="00E703E6" w:rsidP="004E45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 2019-01-09 organizuotas k</w:t>
            </w:r>
            <w:r w:rsidR="00F040CF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valifikacijos tobulinimo seminaras „IT integracija pradiniame ugdyme“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 2019-09-10 organizuoti</w:t>
            </w:r>
            <w:r w:rsidR="00F040CF"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mokymai darbo su </w:t>
            </w:r>
            <w:proofErr w:type="spellStart"/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Ville</w:t>
            </w:r>
            <w:proofErr w:type="spellEnd"/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aplinka; Sudarytas IT taikymo 1-4 klasėse veiklų kalendorius</w:t>
            </w:r>
          </w:p>
        </w:tc>
      </w:tr>
      <w:tr w:rsidR="00DE6786" w:rsidRPr="00DE6786" w:rsidTr="00AB72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44" w:rsidRPr="00DE6786" w:rsidRDefault="00CD0254" w:rsidP="00BA1E44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1.3</w:t>
            </w:r>
            <w:r w:rsidR="004E4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DE6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Efektyvinti bendravimą ir bendradarbiavimą Progimnazijoje virtualios </w:t>
            </w:r>
            <w:r w:rsidRPr="00DE6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komunikavimo aplinkos pagrindu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44" w:rsidRPr="00DE6786" w:rsidRDefault="00CD0254" w:rsidP="00DE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Vykdomas efektyvus Progimnazijos bendruomenės narių 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komunikavimas modernių IKT priemonių pagalba. Sklandžiai organizuojami personalo valdymo ir mokinių ugdymo procesai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FA" w:rsidRPr="00DE6786" w:rsidRDefault="00B82BFA" w:rsidP="00B82BFA">
            <w:pPr>
              <w:numPr>
                <w:ilvl w:val="0"/>
                <w:numId w:val="2"/>
              </w:numPr>
              <w:tabs>
                <w:tab w:val="left" w:pos="209"/>
              </w:tabs>
              <w:overflowPunct w:val="0"/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Sukurta virtualios komunikavimo aplinkos struktūra ir pristatyta 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Progimnazijos bendruomenei.</w:t>
            </w:r>
          </w:p>
          <w:p w:rsidR="00B82BFA" w:rsidRPr="00DE6786" w:rsidRDefault="00B82BFA" w:rsidP="00B82BFA">
            <w:pPr>
              <w:numPr>
                <w:ilvl w:val="0"/>
                <w:numId w:val="2"/>
              </w:numPr>
              <w:tabs>
                <w:tab w:val="left" w:pos="209"/>
              </w:tabs>
              <w:overflowPunct w:val="0"/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Vykdomas dokumentų valdymas „Office 365“ aplinkoje. Apmokyti Progimnazijos darbuotojai.</w:t>
            </w:r>
          </w:p>
          <w:p w:rsidR="00AB6B8A" w:rsidRPr="00DE6786" w:rsidRDefault="00B82BFA" w:rsidP="004E4540">
            <w:pPr>
              <w:numPr>
                <w:ilvl w:val="0"/>
                <w:numId w:val="2"/>
              </w:numPr>
              <w:tabs>
                <w:tab w:val="left" w:pos="209"/>
              </w:tabs>
              <w:overflowPunct w:val="0"/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Ne mažiau kaip 70 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%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mokytojų ir mokinių ugdymo procese naudoja „Office 365“ programos įrankius.</w:t>
            </w:r>
            <w:r w:rsid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DE67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Patvirtinti „Office 365“ programos taikymą ir asmens duomenų teisės apsaugą reglamentuojantys Progimnazijos dokumentai. Jie pristatyti bendruomenės nariams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44" w:rsidRPr="004E4540" w:rsidRDefault="000602DA" w:rsidP="00BA1E44">
            <w:pPr>
              <w:tabs>
                <w:tab w:val="left" w:pos="1701"/>
              </w:tabs>
              <w:spacing w:after="0" w:line="240" w:lineRule="auto"/>
              <w:ind w:right="-79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1.</w:t>
            </w:r>
            <w:r w:rsidR="004E4540"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2019-01-10 Progimnazijoje įdiegta „Office 365“ aplinka. 2019</w:t>
            </w:r>
            <w:r w:rsidR="004E4540"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 balandžio ir spalio m</w:t>
            </w:r>
            <w:r w:rsidR="00B82BFA"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ėn. organizuoti „Office 365“ aplinkos diegimo</w:t>
            </w:r>
            <w:r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mokymai </w:t>
            </w:r>
            <w:r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Progimnazijos darbuotojams.</w:t>
            </w:r>
            <w:r w:rsidR="00B82BFA"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Aplinkos struktūra ir panaudojimo galimybės pristatytos Met</w:t>
            </w:r>
            <w:r w:rsidR="00EE2F9C"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</w:t>
            </w:r>
            <w:r w:rsidR="00B82BFA"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EE2F9C"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="00B82BFA"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nės tarybos, Mokytojų tarybos (2019-08-30 protokolo Nr. V3-6) posėd</w:t>
            </w:r>
            <w:r w:rsidR="004E4540"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žiuose.</w:t>
            </w:r>
          </w:p>
          <w:p w:rsidR="009D77E9" w:rsidRPr="004E4540" w:rsidRDefault="00B82BFA" w:rsidP="00BA1E44">
            <w:pPr>
              <w:tabs>
                <w:tab w:val="left" w:pos="1701"/>
              </w:tabs>
              <w:spacing w:after="0" w:line="240" w:lineRule="auto"/>
              <w:ind w:right="-79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 </w:t>
            </w:r>
            <w:r w:rsidR="000337DD"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2019-12-10 daugiau kaip 45%</w:t>
            </w:r>
            <w:r w:rsidR="009D77E9"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vadybos dokumentų </w:t>
            </w:r>
            <w:r w:rsidR="000337DD"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perkelta į „Office 365“ aplinką.</w:t>
            </w:r>
            <w:r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2019 m. rugsėjo ir spalio mėn. organizuoti mokymai </w:t>
            </w:r>
            <w:r w:rsidR="00480CCA"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rogimnazi</w:t>
            </w:r>
            <w:r w:rsidR="00480CCA"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jos darbuotojams.</w:t>
            </w:r>
          </w:p>
          <w:p w:rsidR="002B0C0E" w:rsidRPr="00DE6786" w:rsidRDefault="00480CCA" w:rsidP="004E4540">
            <w:pPr>
              <w:tabs>
                <w:tab w:val="left" w:pos="1701"/>
              </w:tabs>
              <w:spacing w:after="0" w:line="240" w:lineRule="auto"/>
              <w:ind w:right="-79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  <w:r w:rsidR="002E5A57"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100 % administracijos darbuotojų ir mokytojų, 40 % mokinių naudoja „Office 365“ aplinkos įrankius. </w:t>
            </w:r>
            <w:r w:rsidR="00A21775"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Progimnazijos direktoriaus </w:t>
            </w:r>
            <w:r w:rsidR="004E4540"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="00AB72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</w:t>
            </w:r>
            <w:r w:rsidR="004E4540"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</w:t>
            </w:r>
            <w:r w:rsidR="00A21775"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2019-08-30 įsakymu Nr. V1-57  patvi</w:t>
            </w:r>
            <w:r w:rsidR="00543364"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rtintos fizinių asmenų duomenų apsaugos tvarkant asmens duomenis Klaipėdos Gedminų progimnazijoje</w:t>
            </w:r>
            <w:r w:rsidR="00AB6B8A"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="00A21775" w:rsidRPr="004E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 su jais susipažino pasirašytinai</w:t>
            </w:r>
          </w:p>
        </w:tc>
      </w:tr>
    </w:tbl>
    <w:p w:rsidR="00BA1E44" w:rsidRPr="00BA1E44" w:rsidRDefault="00BA1E44" w:rsidP="00BA1E44">
      <w:p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BA1E44" w:rsidRPr="00BA1E44" w:rsidRDefault="00BA1E44" w:rsidP="00BA1E44">
      <w:p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A1E4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2.</w:t>
      </w:r>
      <w:r w:rsidRPr="00BA1E4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48"/>
      </w:tblGrid>
      <w:tr w:rsidR="00BA1E44" w:rsidRPr="00BA1E44" w:rsidTr="009A286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4" w:rsidRPr="00BA1E44" w:rsidRDefault="00BA1E44" w:rsidP="00BA1E4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1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4" w:rsidRPr="00BA1E44" w:rsidRDefault="00BA1E44" w:rsidP="00BA1E4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1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Priežastys, rizikos </w:t>
            </w:r>
          </w:p>
        </w:tc>
      </w:tr>
      <w:tr w:rsidR="00BA1E44" w:rsidRPr="00BA1E44" w:rsidTr="009A286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44" w:rsidRPr="00BA1E44" w:rsidRDefault="000602DA" w:rsidP="004E4540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1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Efektyvinti bendravimą ir bendradarbiavimą Progimnazijoje virtualios komunikavimo aplinkos pagrindu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44" w:rsidRPr="00BA1E44" w:rsidRDefault="00480CCA" w:rsidP="004E4540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Dėl </w:t>
            </w:r>
            <w:r w:rsidR="00CD02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IKT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priemonių trūkumo, interneto ryšio nestabilumo </w:t>
            </w:r>
            <w:r w:rsidR="00CD02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="00CD0254" w:rsidRPr="00BA1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 per didelių darbo krūvių „Office 365“ programą taikys mažiau kaip 70 </w:t>
            </w:r>
            <w:r w:rsidR="00CD0254" w:rsidRPr="00BA1E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%</w:t>
            </w:r>
            <w:r w:rsidR="00CD0254" w:rsidRPr="00BA1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mokytojų ir mokinių</w:t>
            </w:r>
          </w:p>
        </w:tc>
      </w:tr>
    </w:tbl>
    <w:p w:rsidR="00BA1E44" w:rsidRPr="00BA1E44" w:rsidRDefault="00BA1E44" w:rsidP="00BA1E44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A1E44" w:rsidRPr="00BA1E44" w:rsidRDefault="00BA1E44" w:rsidP="00BA1E44">
      <w:pPr>
        <w:tabs>
          <w:tab w:val="left" w:pos="284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A1E4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3.</w:t>
      </w:r>
      <w:r w:rsidRPr="00BA1E4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Užduotys ar veiklos, kurios nebuvo planuotos ir nustatytos, bet įvykdytos</w:t>
      </w:r>
    </w:p>
    <w:tbl>
      <w:tblPr>
        <w:tblStyle w:val="Lentelstinklelis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49"/>
        <w:gridCol w:w="4819"/>
      </w:tblGrid>
      <w:tr w:rsidR="00C4757A" w:rsidRPr="00C4757A" w:rsidTr="009A286D">
        <w:tc>
          <w:tcPr>
            <w:tcW w:w="4849" w:type="dxa"/>
            <w:hideMark/>
          </w:tcPr>
          <w:p w:rsidR="00BA1E44" w:rsidRPr="00C4757A" w:rsidRDefault="00BA1E44" w:rsidP="00BA1E44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4757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Užduotys/veiklos</w:t>
            </w:r>
          </w:p>
        </w:tc>
        <w:tc>
          <w:tcPr>
            <w:tcW w:w="4819" w:type="dxa"/>
            <w:hideMark/>
          </w:tcPr>
          <w:p w:rsidR="00BA1E44" w:rsidRPr="00C4757A" w:rsidRDefault="00BA1E44" w:rsidP="00BA1E44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4757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Poveikis švietimo įstaigos veiklai</w:t>
            </w:r>
          </w:p>
        </w:tc>
      </w:tr>
      <w:tr w:rsidR="00C4757A" w:rsidRPr="00C4757A" w:rsidTr="009A286D">
        <w:tc>
          <w:tcPr>
            <w:tcW w:w="4849" w:type="dxa"/>
            <w:hideMark/>
          </w:tcPr>
          <w:p w:rsidR="00C4757A" w:rsidRDefault="00BA1E44" w:rsidP="00C4757A">
            <w:pPr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4757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Parengt</w:t>
            </w:r>
            <w:r w:rsidR="00C4757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i:</w:t>
            </w:r>
          </w:p>
          <w:p w:rsidR="00C4757A" w:rsidRDefault="00C4757A" w:rsidP="00C4757A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40813" w:rsidRPr="00C4757A">
              <w:rPr>
                <w:rFonts w:ascii="Times New Roman" w:hAnsi="Times New Roman" w:cs="Times New Roman"/>
                <w:sz w:val="24"/>
                <w:szCs w:val="24"/>
              </w:rPr>
              <w:t>rogramos „</w:t>
            </w:r>
            <w:proofErr w:type="spellStart"/>
            <w:r w:rsidR="00640813" w:rsidRPr="00C4757A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="00640813" w:rsidRPr="00C4757A">
              <w:rPr>
                <w:rFonts w:ascii="Times New Roman" w:hAnsi="Times New Roman" w:cs="Times New Roman"/>
                <w:sz w:val="24"/>
                <w:szCs w:val="24"/>
              </w:rPr>
              <w:t>+“ 2 pagrindinio veiksmo (KA229) bendrojo ugdymo sektoriaus mokyklų mainų partnerysčių projektas Nr. 2019-1-TR01-KA229-073872_5 „</w:t>
            </w:r>
            <w:proofErr w:type="spellStart"/>
            <w:r w:rsidR="00640813" w:rsidRPr="00C4757A">
              <w:rPr>
                <w:rFonts w:ascii="Times New Roman" w:hAnsi="Times New Roman" w:cs="Times New Roman"/>
                <w:sz w:val="24"/>
                <w:szCs w:val="24"/>
              </w:rPr>
              <w:t>Occupy</w:t>
            </w:r>
            <w:proofErr w:type="spellEnd"/>
            <w:r w:rsidR="00640813" w:rsidRPr="00C4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813" w:rsidRPr="00C4757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640813" w:rsidRPr="00C4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813" w:rsidRPr="00C4757A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="00640813" w:rsidRPr="00C4757A">
              <w:rPr>
                <w:rFonts w:ascii="Times New Roman" w:hAnsi="Times New Roman" w:cs="Times New Roman"/>
                <w:sz w:val="24"/>
                <w:szCs w:val="24"/>
              </w:rPr>
              <w:t>“. </w:t>
            </w:r>
          </w:p>
          <w:p w:rsidR="00BA1E44" w:rsidRPr="00C4757A" w:rsidRDefault="00C4757A" w:rsidP="00C4757A">
            <w:pPr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47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Šiaurės ministrų tarybos programos </w:t>
            </w:r>
            <w:proofErr w:type="spellStart"/>
            <w:r w:rsidRPr="00C47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Nordplus</w:t>
            </w:r>
            <w:proofErr w:type="spellEnd"/>
            <w:r w:rsidRPr="00C47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47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NordPlus</w:t>
            </w:r>
            <w:proofErr w:type="spellEnd"/>
            <w:r w:rsidRPr="00C47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Framework</w:t>
            </w:r>
            <w:proofErr w:type="spellEnd"/>
            <w:r w:rsidRPr="00C47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Programme</w:t>
            </w:r>
            <w:proofErr w:type="spellEnd"/>
            <w:r w:rsidRPr="00C47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skirtoje Šiaurės ir Baltijos šalių bendradarbiavimui švietimo srityje, </w:t>
            </w:r>
            <w:proofErr w:type="spellStart"/>
            <w:r w:rsidRPr="00C47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Nordplus</w:t>
            </w:r>
            <w:proofErr w:type="spellEnd"/>
            <w:r w:rsidRPr="00C47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Junior</w:t>
            </w:r>
            <w:proofErr w:type="spellEnd"/>
            <w:r w:rsidRPr="00C47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paprogramės projektas NPJR-2019/10097 „21st </w:t>
            </w:r>
            <w:proofErr w:type="spellStart"/>
            <w:r w:rsidRPr="00C47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Century</w:t>
            </w:r>
            <w:proofErr w:type="spellEnd"/>
            <w:r w:rsidRPr="00C47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Lesson</w:t>
            </w:r>
            <w:proofErr w:type="spellEnd"/>
            <w:r w:rsidRPr="00C47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“.</w:t>
            </w:r>
          </w:p>
        </w:tc>
        <w:tc>
          <w:tcPr>
            <w:tcW w:w="4819" w:type="dxa"/>
          </w:tcPr>
          <w:p w:rsidR="009A286D" w:rsidRPr="00761429" w:rsidRDefault="00761429" w:rsidP="00761429">
            <w:pPr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1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Bus pagerintas</w:t>
            </w:r>
            <w:r w:rsidR="009A286D" w:rsidRPr="00761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mokinių supratim</w:t>
            </w:r>
            <w:r w:rsidRPr="00761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</w:t>
            </w:r>
            <w:r w:rsidR="009A286D" w:rsidRPr="00761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apie būsimas </w:t>
            </w:r>
            <w:r w:rsidRPr="00761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XXI amžiaus </w:t>
            </w:r>
            <w:r w:rsidR="009A286D" w:rsidRPr="00761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profesijas ir užimtumą bei suteikt</w:t>
            </w:r>
            <w:r w:rsidRPr="00761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9A286D" w:rsidRPr="00761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galimyb</w:t>
            </w:r>
            <w:r w:rsidRPr="00761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ė</w:t>
            </w:r>
            <w:r w:rsidR="009A286D" w:rsidRPr="00761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įgyti įgūdžių veiksmingai planuoti savo karjerą.</w:t>
            </w:r>
            <w:r w:rsidRPr="00761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Patobulės m</w:t>
            </w:r>
            <w:r w:rsidR="009A286D" w:rsidRPr="00761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okini</w:t>
            </w:r>
            <w:r w:rsidRPr="00761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ų</w:t>
            </w:r>
            <w:r w:rsidR="009A286D" w:rsidRPr="00761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kompetencij</w:t>
            </w:r>
            <w:r w:rsidRPr="00761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</w:t>
            </w:r>
            <w:r w:rsidR="009A286D" w:rsidRPr="00761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susijus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ios</w:t>
            </w:r>
            <w:r w:rsidR="009A286D" w:rsidRPr="00761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su karjeros planavimu, IKT naudojimu, patobulins anglų kalbos bendravimo bei bendradarbiavimo </w:t>
            </w:r>
            <w:proofErr w:type="spellStart"/>
            <w:r w:rsidR="009A286D" w:rsidRPr="00761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daugiakultūrėje</w:t>
            </w:r>
            <w:proofErr w:type="spellEnd"/>
            <w:r w:rsidR="009A286D" w:rsidRPr="00761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komandoje įgūdžius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A286D" w:rsidRPr="00761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9A286D" w:rsidRDefault="009A286D" w:rsidP="00BA1E44">
      <w:p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BA1E44" w:rsidRPr="00BA1E44" w:rsidRDefault="00BA1E44" w:rsidP="00BA1E44">
      <w:p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A1E4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7"/>
        <w:gridCol w:w="3005"/>
        <w:gridCol w:w="2267"/>
      </w:tblGrid>
      <w:tr w:rsidR="00BA1E44" w:rsidRPr="00BA1E44" w:rsidTr="00AB729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4" w:rsidRPr="00BA1E44" w:rsidRDefault="00BA1E44" w:rsidP="00BA1E4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_GoBack"/>
            <w:r w:rsidRPr="00BA1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4" w:rsidRPr="00BA1E44" w:rsidRDefault="00BA1E44" w:rsidP="00BA1E4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1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4" w:rsidRPr="00BA1E44" w:rsidRDefault="00BA1E44" w:rsidP="00BA1E4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1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4" w:rsidRPr="00BA1E44" w:rsidRDefault="00BA1E44" w:rsidP="00BA1E4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1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Pasiekti rezultatai ir jų rodikliai</w:t>
            </w:r>
          </w:p>
        </w:tc>
      </w:tr>
      <w:tr w:rsidR="00BA1E44" w:rsidRPr="00BA1E44" w:rsidTr="00AB729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4" w:rsidRPr="00BA1E44" w:rsidRDefault="00BA1E44" w:rsidP="00BA1E4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1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44" w:rsidRPr="00BA1E44" w:rsidRDefault="00BA1E44" w:rsidP="00BA1E4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1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44" w:rsidRPr="00BA1E44" w:rsidRDefault="00BA1E44" w:rsidP="00BA1E4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1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44" w:rsidRPr="00BA1E44" w:rsidRDefault="00BA1E44" w:rsidP="00BA1E4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1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</w:p>
        </w:tc>
      </w:tr>
      <w:bookmarkEnd w:id="0"/>
    </w:tbl>
    <w:p w:rsidR="00BA1E44" w:rsidRPr="00BA1E44" w:rsidRDefault="00BA1E44" w:rsidP="00BA1E4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A1E44" w:rsidRPr="00BA1E44" w:rsidRDefault="00BA1E44" w:rsidP="00BA1E4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A1E4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III SKYRIUS</w:t>
      </w:r>
    </w:p>
    <w:p w:rsidR="00BA1E44" w:rsidRPr="00BA1E44" w:rsidRDefault="00BA1E44" w:rsidP="00BA1E4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A1E4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PASIEKTŲ REZULTATŲ VYKDANT UŽDUOTIS ĮSIVERTINIMAS IR KOMPETENCIJŲ TOBULINIMAS</w:t>
      </w:r>
    </w:p>
    <w:p w:rsidR="00BA1E44" w:rsidRPr="00BA1E44" w:rsidRDefault="00BA1E44" w:rsidP="00BA1E4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BA1E44" w:rsidRPr="00BA1E44" w:rsidRDefault="00BA1E44" w:rsidP="00BA1E44">
      <w:pPr>
        <w:overflowPunct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A1E4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5. Pasiektų rezultatų vykdant užduotis įsivertinimas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2409"/>
      </w:tblGrid>
      <w:tr w:rsidR="00BA1E44" w:rsidRPr="00BA1E44" w:rsidTr="006E29D2">
        <w:trPr>
          <w:trHeight w:val="2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4" w:rsidRPr="00BA1E44" w:rsidRDefault="00BA1E44" w:rsidP="00BA1E4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1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Užduočių įvykdymo aprašymas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4" w:rsidRPr="00BA1E44" w:rsidRDefault="00BA1E44" w:rsidP="00BA1E4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1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Pažymimas atitinkamas langelis</w:t>
            </w:r>
          </w:p>
        </w:tc>
      </w:tr>
      <w:tr w:rsidR="00BA1E44" w:rsidRPr="00BA1E44" w:rsidTr="006E29D2">
        <w:trPr>
          <w:trHeight w:val="2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4" w:rsidRPr="00BA1E44" w:rsidRDefault="00BA1E44" w:rsidP="00BA1E44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1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5.1. Užduotys įvykdytos ir viršijo kai kuriuos sutartus vertinimo rodiklius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4" w:rsidRPr="00BA1E44" w:rsidRDefault="00BA1E44" w:rsidP="00BA1E44">
            <w:pPr>
              <w:overflowPunct w:val="0"/>
              <w:spacing w:after="0" w:line="240" w:lineRule="auto"/>
              <w:ind w:right="34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A6A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Labai gerai </w:t>
            </w:r>
            <w:r w:rsidRPr="006A6AA0">
              <w:rPr>
                <w:rFonts w:ascii="Times New Roman" w:eastAsia="MS Gothic" w:hAnsi="Times New Roman" w:cs="Times New Roman"/>
                <w:sz w:val="24"/>
                <w:szCs w:val="24"/>
                <w:lang w:eastAsia="lt-LT"/>
              </w:rPr>
              <w:t>X</w:t>
            </w:r>
          </w:p>
        </w:tc>
      </w:tr>
      <w:tr w:rsidR="00BA1E44" w:rsidRPr="00BA1E44" w:rsidTr="006E29D2">
        <w:trPr>
          <w:trHeight w:val="2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4" w:rsidRPr="00BA1E44" w:rsidRDefault="00BA1E44" w:rsidP="00BA1E44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1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5.2. Užduotys iš esmės įvykdytos pagal sutartus vertinimo rodiklius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4" w:rsidRPr="00BA1E44" w:rsidRDefault="00BA1E44" w:rsidP="00BA1E44">
            <w:pPr>
              <w:overflowPunct w:val="0"/>
              <w:spacing w:after="0" w:line="240" w:lineRule="auto"/>
              <w:ind w:right="34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1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Gerai </w:t>
            </w:r>
            <w:r w:rsidRPr="00BA1E44">
              <w:rPr>
                <w:rFonts w:ascii="Segoe UI Symbol" w:eastAsia="MS Gothic" w:hAnsi="Segoe UI Symbol" w:cs="Segoe UI Symbol"/>
                <w:sz w:val="24"/>
                <w:szCs w:val="24"/>
                <w:lang w:eastAsia="lt-LT"/>
              </w:rPr>
              <w:t>☐</w:t>
            </w:r>
          </w:p>
        </w:tc>
      </w:tr>
      <w:tr w:rsidR="00BA1E44" w:rsidRPr="00BA1E44" w:rsidTr="006E29D2">
        <w:trPr>
          <w:trHeight w:val="2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4" w:rsidRPr="00BA1E44" w:rsidRDefault="00BA1E44" w:rsidP="00BA1E44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1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5.3. Įvykdytos tik kai kurios užduotys pagal sutartus vertinimo rodiklius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4" w:rsidRPr="00BA1E44" w:rsidRDefault="00BA1E44" w:rsidP="00BA1E44">
            <w:pPr>
              <w:overflowPunct w:val="0"/>
              <w:spacing w:after="0" w:line="240" w:lineRule="auto"/>
              <w:ind w:right="34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1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Patenkinamai </w:t>
            </w:r>
            <w:r w:rsidRPr="00BA1E44">
              <w:rPr>
                <w:rFonts w:ascii="Segoe UI Symbol" w:eastAsia="MS Gothic" w:hAnsi="Segoe UI Symbol" w:cs="Segoe UI Symbol"/>
                <w:sz w:val="24"/>
                <w:szCs w:val="24"/>
                <w:lang w:eastAsia="lt-LT"/>
              </w:rPr>
              <w:t>☐</w:t>
            </w:r>
          </w:p>
        </w:tc>
      </w:tr>
      <w:tr w:rsidR="00BA1E44" w:rsidRPr="00BA1E44" w:rsidTr="006E29D2">
        <w:trPr>
          <w:trHeight w:val="2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4" w:rsidRPr="00BA1E44" w:rsidRDefault="00BA1E44" w:rsidP="00BA1E44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1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5.4. Užduotys neįvykdytos pagal sutartus vertinimo rodiklius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4" w:rsidRPr="00BA1E44" w:rsidRDefault="00BA1E44" w:rsidP="00BA1E44">
            <w:pPr>
              <w:overflowPunct w:val="0"/>
              <w:spacing w:after="0" w:line="240" w:lineRule="auto"/>
              <w:ind w:right="34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1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Nepatenkinamai </w:t>
            </w:r>
            <w:r w:rsidRPr="00BA1E44">
              <w:rPr>
                <w:rFonts w:ascii="Segoe UI Symbol" w:eastAsia="MS Gothic" w:hAnsi="Segoe UI Symbol" w:cs="Segoe UI Symbol"/>
                <w:sz w:val="24"/>
                <w:szCs w:val="24"/>
                <w:lang w:eastAsia="lt-LT"/>
              </w:rPr>
              <w:t>☐</w:t>
            </w:r>
          </w:p>
        </w:tc>
      </w:tr>
    </w:tbl>
    <w:p w:rsidR="00BA1E44" w:rsidRPr="00BA1E44" w:rsidRDefault="00BA1E44" w:rsidP="00BA1E4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A1E44" w:rsidRPr="00BA1E44" w:rsidRDefault="00BA1E44" w:rsidP="00BA1E44">
      <w:pPr>
        <w:tabs>
          <w:tab w:val="left" w:pos="284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A1E4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6. Kompetencijos, kurias norėtų tobulinti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A1E44" w:rsidRPr="00BA1E44" w:rsidTr="006E29D2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44" w:rsidRPr="00BA1E44" w:rsidRDefault="00BA1E44" w:rsidP="00AB7298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1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6.1.</w:t>
            </w:r>
            <w:r w:rsidR="007D14E2">
              <w:rPr>
                <w:rFonts w:ascii="Times New Roman" w:eastAsia="Times New Roman" w:hAnsi="Times New Roman" w:cs="Times New Roman"/>
                <w:sz w:val="24"/>
                <w:szCs w:val="24"/>
              </w:rPr>
              <w:t> Tobulinti vadovavimo žmonėms</w:t>
            </w:r>
            <w:r w:rsidRPr="00BA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kompetenciją – </w:t>
            </w:r>
            <w:r w:rsidR="007D14E2">
              <w:rPr>
                <w:rFonts w:ascii="Times New Roman" w:eastAsia="Times New Roman" w:hAnsi="Times New Roman" w:cs="Times New Roman"/>
                <w:sz w:val="24"/>
                <w:szCs w:val="24"/>
              </w:rPr>
              <w:t>gilinant žinias apie darbuotojų motyvavimo principus bei stiprinant pedagogų atsakomybę už jų darbą ir rezultatus.</w:t>
            </w:r>
          </w:p>
        </w:tc>
      </w:tr>
    </w:tbl>
    <w:p w:rsidR="00BA1E44" w:rsidRPr="009A286D" w:rsidRDefault="00BA1E44" w:rsidP="00BA1E4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BA1E44" w:rsidRPr="009A286D" w:rsidRDefault="00BA1E44" w:rsidP="00BA1E4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BA1E44" w:rsidRPr="00BA1E44" w:rsidRDefault="00BA1E44" w:rsidP="00BA1E44">
      <w:pPr>
        <w:tabs>
          <w:tab w:val="left" w:pos="4253"/>
          <w:tab w:val="left" w:pos="6946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A1E4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Direktorius               ____________                          </w:t>
      </w:r>
      <w:r w:rsidRPr="00BA1E44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Aurelijus Liaudanskas</w:t>
      </w:r>
      <w:r w:rsidRPr="00BA1E4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</w:t>
      </w:r>
      <w:r w:rsidRPr="00BA1E44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201</w:t>
      </w:r>
      <w:r w:rsidR="002B0C0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9-01-20</w:t>
      </w:r>
    </w:p>
    <w:p w:rsidR="00BA1E44" w:rsidRPr="00BA1E44" w:rsidRDefault="00BA1E44" w:rsidP="00BA1E44">
      <w:r w:rsidRPr="00BA1E44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                                      (parašas)                                           (vardas ir pavardė)                                          (data)</w:t>
      </w:r>
    </w:p>
    <w:sectPr w:rsidR="00BA1E44" w:rsidRPr="00BA1E44" w:rsidSect="00CC149C">
      <w:headerReference w:type="default" r:id="rId7"/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37" w:rsidRDefault="00130537">
      <w:pPr>
        <w:spacing w:after="0" w:line="240" w:lineRule="auto"/>
      </w:pPr>
      <w:r>
        <w:separator/>
      </w:r>
    </w:p>
  </w:endnote>
  <w:endnote w:type="continuationSeparator" w:id="0">
    <w:p w:rsidR="00130537" w:rsidRDefault="0013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37" w:rsidRDefault="00130537">
      <w:pPr>
        <w:spacing w:after="0" w:line="240" w:lineRule="auto"/>
      </w:pPr>
      <w:r>
        <w:separator/>
      </w:r>
    </w:p>
  </w:footnote>
  <w:footnote w:type="continuationSeparator" w:id="0">
    <w:p w:rsidR="00130537" w:rsidRDefault="00130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754739"/>
      <w:docPartObj>
        <w:docPartGallery w:val="Page Numbers (Top of Page)"/>
        <w:docPartUnique/>
      </w:docPartObj>
    </w:sdtPr>
    <w:sdtEndPr/>
    <w:sdtContent>
      <w:p w:rsidR="00CC149C" w:rsidRDefault="0007557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298">
          <w:rPr>
            <w:noProof/>
          </w:rPr>
          <w:t>5</w:t>
        </w:r>
        <w:r>
          <w:fldChar w:fldCharType="end"/>
        </w:r>
      </w:p>
    </w:sdtContent>
  </w:sdt>
  <w:p w:rsidR="00CC149C" w:rsidRDefault="001305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8594C"/>
    <w:multiLevelType w:val="hybridMultilevel"/>
    <w:tmpl w:val="CADE5900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91E45"/>
    <w:multiLevelType w:val="hybridMultilevel"/>
    <w:tmpl w:val="0E508854"/>
    <w:lvl w:ilvl="0" w:tplc="62FCB22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8318B"/>
    <w:multiLevelType w:val="multilevel"/>
    <w:tmpl w:val="D874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7232193"/>
    <w:multiLevelType w:val="multilevel"/>
    <w:tmpl w:val="D874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84172B3"/>
    <w:multiLevelType w:val="hybridMultilevel"/>
    <w:tmpl w:val="21BEDA26"/>
    <w:lvl w:ilvl="0" w:tplc="C7D244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0548D"/>
    <w:multiLevelType w:val="hybridMultilevel"/>
    <w:tmpl w:val="475E7178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18"/>
    <w:rsid w:val="000337DD"/>
    <w:rsid w:val="000602DA"/>
    <w:rsid w:val="00075572"/>
    <w:rsid w:val="00130537"/>
    <w:rsid w:val="001552C5"/>
    <w:rsid w:val="001B32DC"/>
    <w:rsid w:val="001D7C7B"/>
    <w:rsid w:val="002B0C0E"/>
    <w:rsid w:val="002E5A57"/>
    <w:rsid w:val="003E0EA8"/>
    <w:rsid w:val="003F5F18"/>
    <w:rsid w:val="00480CCA"/>
    <w:rsid w:val="004E4540"/>
    <w:rsid w:val="005054FE"/>
    <w:rsid w:val="00543364"/>
    <w:rsid w:val="00640813"/>
    <w:rsid w:val="006A6AA0"/>
    <w:rsid w:val="00704397"/>
    <w:rsid w:val="0071033B"/>
    <w:rsid w:val="00761429"/>
    <w:rsid w:val="007D14E2"/>
    <w:rsid w:val="009830D8"/>
    <w:rsid w:val="009A286D"/>
    <w:rsid w:val="009D5FEE"/>
    <w:rsid w:val="009D77E9"/>
    <w:rsid w:val="009E642A"/>
    <w:rsid w:val="00A21775"/>
    <w:rsid w:val="00A448A9"/>
    <w:rsid w:val="00AB6B8A"/>
    <w:rsid w:val="00AB7298"/>
    <w:rsid w:val="00AC0B4F"/>
    <w:rsid w:val="00B20FB4"/>
    <w:rsid w:val="00B82BFA"/>
    <w:rsid w:val="00B83A57"/>
    <w:rsid w:val="00BA1E44"/>
    <w:rsid w:val="00C1347B"/>
    <w:rsid w:val="00C4757A"/>
    <w:rsid w:val="00CA2954"/>
    <w:rsid w:val="00CD0254"/>
    <w:rsid w:val="00DE6786"/>
    <w:rsid w:val="00E15623"/>
    <w:rsid w:val="00E44A23"/>
    <w:rsid w:val="00E703E6"/>
    <w:rsid w:val="00EE2F9C"/>
    <w:rsid w:val="00F040CF"/>
    <w:rsid w:val="00F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1EFC"/>
  <w15:docId w15:val="{60088D26-A309-4010-92AA-1DA1F133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44A2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BA1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BA1E44"/>
  </w:style>
  <w:style w:type="table" w:styleId="Lentelstinklelis">
    <w:name w:val="Table Grid"/>
    <w:basedOn w:val="prastojilentel"/>
    <w:uiPriority w:val="39"/>
    <w:rsid w:val="00BA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44A23"/>
    <w:pPr>
      <w:ind w:left="720"/>
      <w:contextualSpacing/>
    </w:pPr>
  </w:style>
  <w:style w:type="character" w:customStyle="1" w:styleId="normaltextrun">
    <w:name w:val="normaltextrun"/>
    <w:basedOn w:val="Numatytasispastraiposriftas"/>
    <w:rsid w:val="009D5FEE"/>
  </w:style>
  <w:style w:type="character" w:customStyle="1" w:styleId="eop">
    <w:name w:val="eop"/>
    <w:basedOn w:val="Numatytasispastraiposriftas"/>
    <w:rsid w:val="009D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8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8566</Words>
  <Characters>4884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Gedminai</Company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Aurelijus Liaudanskas</dc:creator>
  <cp:lastModifiedBy>Windows User</cp:lastModifiedBy>
  <cp:revision>4</cp:revision>
  <dcterms:created xsi:type="dcterms:W3CDTF">2020-01-21T11:52:00Z</dcterms:created>
  <dcterms:modified xsi:type="dcterms:W3CDTF">2020-01-21T14:01:00Z</dcterms:modified>
</cp:coreProperties>
</file>